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C905AF" w:rsidRPr="00C905AF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905AF" w:rsidRPr="00C905AF" w:rsidRDefault="00C905AF" w:rsidP="00C905AF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 w:val="39"/>
                <w:szCs w:val="39"/>
              </w:rPr>
            </w:pPr>
            <w:r w:rsidRPr="00C905AF">
              <w:rPr>
                <w:rFonts w:ascii="Arial" w:eastAsia="宋体" w:hAnsi="Arial" w:cs="Arial"/>
                <w:b/>
                <w:bCs/>
                <w:kern w:val="0"/>
                <w:sz w:val="39"/>
                <w:szCs w:val="39"/>
              </w:rPr>
              <w:t>同济大学追求卓越奖励基金评奖工作细则（试行）</w:t>
            </w:r>
          </w:p>
        </w:tc>
      </w:tr>
      <w:tr w:rsidR="00C905AF" w:rsidRPr="00C905AF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905AF" w:rsidRPr="00C905AF" w:rsidRDefault="00C905AF" w:rsidP="00C905A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905AF" w:rsidRPr="00C905AF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23"/>
            </w:tblGrid>
            <w:tr w:rsidR="00C905AF" w:rsidRPr="00C905A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905AF" w:rsidRPr="00C905AF" w:rsidRDefault="00C905AF" w:rsidP="00C905AF">
                  <w:pPr>
                    <w:widowControl/>
                    <w:spacing w:line="360" w:lineRule="atLeast"/>
                    <w:jc w:val="center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第一章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总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  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则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第一条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为了大力推进学校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“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卓越人才培养计划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”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，鼓励广大教师取得杰出的教书育人、学术研究成果，鼓励在校学生努力成长为引领可持续发展的专业精英与社会栋梁，鼓励全体教职工、广大校友积极在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“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管理育人，服务育人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”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岗位创造佳绩，学校决定设立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“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同济大学追求卓越奖励基金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”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（以下简称卓越奖）。为有序、规范地开展评奖工作，特制定本细则。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第二条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的推荐、评审和颁发遵循科学、公开、公平、公正的原则。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第三条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设卓越教师奖、卓越学生奖和卓越服务奖，每学年评颁一次。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center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第二章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评奖范围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第四条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卓越教师奖：专业技术岗的教师系列、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思政系列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和博士后任职人员。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第五条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卓越学生奖：正式注册的在读学生。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第六条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卓越服务奖：专业技术岗教辅系列、管理岗、工勤技能岗任职人员以及校友。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center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第三章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奖励额度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第七条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卓越教师奖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2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名，每人奖励人民币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10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万元；卓越学生奖研究生、本（专）科生各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3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名，每人奖励人民币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5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万元；卓越服务奖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2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名，每人奖励人民币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10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万元。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第八条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评奖学年如无符合评奖标准的人选，相应奖项则空缺。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center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第四章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推荐原则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第九条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候选人由组织推荐方式产生，各学院（系）、校机关部处、直属单位、校友组织均具有推荐资格；三名及以上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评审委员会委员具有联合推荐资格，但每位委员每学年仅能推荐一名候选人。各推荐组织推荐人数不得多于该奖项额定获奖人数。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组织推荐时应注重候选人的品德修养和职业素养，重点体现候选人在本职岗位上追求卓越的精神，在某一方面具有突出表现，或在社会中产生广泛影响力。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第十一条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候选人的主要支撑材料应为评奖前已取得并获确认的主要成果、先进事迹、社会评价。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第十二条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卓越教师奖候选人应有高尚的道德情操、强烈的事业心和严谨的治学风范，同时应至少满足下列条件中的一项：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1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．积极参与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“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卓越人才培养计划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”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的教育教学改革，在教学内容、教材、方法改革等方面取得显著成果。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2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．注重因材施教，并取得显著成效。其直接培养、指导的学生在科学研究、竞赛、设计、创新实践和社会服务等活动中取得突出成绩。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3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．在应用推广先进科学技术成果，完成重大科学技术工程、计划、项目等方面做出突出贡献；或发表高水平研究成果、获得重大科技奖项；或创造显著经济效益、社会效益。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第十三条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卓越学生奖候选人应模范遵守国家法律和校纪校规，知识、能力、人格协调统一，全面发展，或道德品质、专业学习、科学研究、社会实践等某方面具有突出表现，取得广泛影响力。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第十四条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 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卓越服务奖候选人应勤奋踏实、爱岗敬业，有强烈的事业心和责任感，有良好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lastRenderedPageBreak/>
                    <w:t>的职业道德和爱校荣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校意识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,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同时应至少满足下列条件中的一项：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1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．在学校各类管理、教辅、服务岗位上乐于奉献、勇于开拓，在提高学校管理水平、办学效益等方面成绩卓著。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2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．在社会上为学校争得荣誉，事迹生动感人，影响范围大，社会评价高。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3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．为学校发展建设、工程教育改革、卓越人才培养等做出突出贡献。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center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第五章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评审程序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第十五条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卓越教师奖、卓越服务奖初评工作由人事处组织实施，校友总会秘书处参与组织实施相关工作；卓越学生奖（研究生）初评工作由研究生工作部组织实施；卓越学生奖（本专科生）初评工作由学生处组织实施。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第十六条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各推荐组织根据评奖通知开展推荐工作，将推荐材料分别递交相应的实施单位；各实施单位对推荐材料进行复审后分别报学校奖教金评审委员会、校友奖励评审委员会、研究生奖学金评审委员会、本专科生奖学金评审委员会进行初评，并按照不超过额定获奖人数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1:1.5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的比例确定终评人选；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评审委员会委员联合推荐的候选人直接确定为终评人选。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第十七条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评审委员会进行终评，确定各类奖项获奖人选名单。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第十八条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在全校范围内公示名单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5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个工作日后确定最终获奖人员名单。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第十九条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任何一级评审委员会委员如被推荐为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候选人，则该委员不参加所在奖项的评审、表决。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center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第六章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评审和颁奖时间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第二十条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proofErr w:type="gramStart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卓越奖</w:t>
                  </w:r>
                  <w:proofErr w:type="gramEnd"/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于每学年第一学期统一开展推荐、评审工作，并于第二学期校庆期间举办颁奖典礼。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center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第七章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附则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第二十一条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本办法自颁布之日起实施。</w:t>
                  </w:r>
                </w:p>
                <w:p w:rsidR="00C905AF" w:rsidRPr="00C905AF" w:rsidRDefault="00C905AF" w:rsidP="00C905AF">
                  <w:pPr>
                    <w:widowControl/>
                    <w:spacing w:line="360" w:lineRule="atLeast"/>
                    <w:jc w:val="left"/>
                    <w:rPr>
                      <w:rFonts w:ascii="Arial" w:eastAsia="宋体" w:hAnsi="Arial" w:cs="Arial"/>
                      <w:kern w:val="0"/>
                      <w:szCs w:val="18"/>
                    </w:rPr>
                  </w:pPr>
                  <w:r w:rsidRPr="00C905AF">
                    <w:rPr>
                      <w:rFonts w:ascii="Arial" w:eastAsia="宋体" w:hAnsi="Arial" w:cs="Arial"/>
                      <w:b/>
                      <w:bCs/>
                      <w:kern w:val="0"/>
                      <w:szCs w:val="18"/>
                    </w:rPr>
                    <w:t>第二十二条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 xml:space="preserve">  </w:t>
                  </w:r>
                  <w:r w:rsidRPr="00C905AF">
                    <w:rPr>
                      <w:rFonts w:ascii="Arial" w:eastAsia="宋体" w:hAnsi="Arial" w:cs="Arial"/>
                      <w:kern w:val="0"/>
                      <w:szCs w:val="18"/>
                    </w:rPr>
                    <w:t>本办法解释权归同济大学追求卓越奖励基金秘书处。</w:t>
                  </w:r>
                </w:p>
              </w:tc>
            </w:tr>
          </w:tbl>
          <w:p w:rsidR="00C905AF" w:rsidRPr="00C905AF" w:rsidRDefault="00C905AF" w:rsidP="00C905A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965391" w:rsidRPr="00D91BE8" w:rsidRDefault="00965391"/>
    <w:sectPr w:rsidR="00965391" w:rsidRPr="00D91BE8" w:rsidSect="0096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5AF"/>
    <w:rsid w:val="00965391"/>
    <w:rsid w:val="00C905AF"/>
    <w:rsid w:val="00D9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2013-12-23T05:54:00Z</dcterms:created>
  <dcterms:modified xsi:type="dcterms:W3CDTF">2013-12-23T05:55:00Z</dcterms:modified>
</cp:coreProperties>
</file>